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9"/>
        <w:rPr>
          <w:rFonts w:hint="eastAsia" w:ascii="方正小标宋简体" w:hAnsi="方正小标宋简体" w:eastAsia="方正小标宋简体" w:cs="方正小标宋简体"/>
          <w:bCs/>
          <w:sz w:val="28"/>
          <w:szCs w:val="28"/>
          <w:lang w:val="en-US" w:eastAsia="zh-CN"/>
        </w:rPr>
      </w:pPr>
      <w:r>
        <w:rPr>
          <w:rFonts w:hint="eastAsia" w:ascii="方正小标宋简体" w:hAnsi="方正小标宋简体" w:eastAsia="方正小标宋简体" w:cs="方正小标宋简体"/>
          <w:bCs/>
          <w:sz w:val="28"/>
          <w:szCs w:val="28"/>
          <w:lang w:val="en-US" w:eastAsia="zh-CN"/>
        </w:rPr>
        <w:t>附件4：</w:t>
      </w:r>
    </w:p>
    <w:p>
      <w:pPr>
        <w:jc w:val="center"/>
        <w:outlineLvl w:val="9"/>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北京师范大学珠海</w:t>
      </w:r>
      <w:r>
        <w:rPr>
          <w:rFonts w:hint="eastAsia" w:ascii="方正小标宋简体" w:hAnsi="方正小标宋简体" w:eastAsia="方正小标宋简体" w:cs="方正小标宋简体"/>
          <w:bCs/>
          <w:sz w:val="36"/>
          <w:szCs w:val="36"/>
          <w:lang w:val="en-US" w:eastAsia="zh-CN"/>
        </w:rPr>
        <w:t>校区</w:t>
      </w:r>
      <w:r>
        <w:rPr>
          <w:rFonts w:hint="eastAsia" w:ascii="方正小标宋简体" w:hAnsi="方正小标宋简体" w:eastAsia="方正小标宋简体" w:cs="方正小标宋简体"/>
          <w:bCs/>
          <w:sz w:val="36"/>
          <w:szCs w:val="36"/>
        </w:rPr>
        <w:t>青</w:t>
      </w:r>
      <w:r>
        <w:rPr>
          <w:rFonts w:hint="eastAsia" w:ascii="方正小标宋简体" w:hAnsi="方正小标宋简体" w:eastAsia="方正小标宋简体" w:cs="方正小标宋简体"/>
          <w:bCs/>
          <w:sz w:val="36"/>
          <w:szCs w:val="36"/>
          <w:lang w:val="en-US" w:eastAsia="zh-CN"/>
        </w:rPr>
        <w:t>年马克思主义者培养工程</w:t>
      </w:r>
    </w:p>
    <w:p>
      <w:pPr>
        <w:jc w:val="center"/>
        <w:outlineLvl w:val="9"/>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第二期</w:t>
      </w:r>
      <w:r>
        <w:rPr>
          <w:rFonts w:hint="eastAsia" w:ascii="方正小标宋简体" w:hAnsi="方正小标宋简体" w:eastAsia="方正小标宋简体" w:cs="方正小标宋简体"/>
          <w:bCs/>
          <w:sz w:val="36"/>
          <w:szCs w:val="36"/>
        </w:rPr>
        <w:t>培训</w:t>
      </w:r>
      <w:r>
        <w:rPr>
          <w:rFonts w:hint="eastAsia" w:ascii="方正小标宋简体" w:hAnsi="方正小标宋简体" w:eastAsia="方正小标宋简体" w:cs="方正小标宋简体"/>
          <w:bCs/>
          <w:sz w:val="36"/>
          <w:szCs w:val="36"/>
          <w:lang w:val="en-US" w:eastAsia="zh-CN"/>
        </w:rPr>
        <w:t>班培养</w:t>
      </w:r>
      <w:r>
        <w:rPr>
          <w:rFonts w:hint="eastAsia" w:ascii="方正小标宋简体" w:hAnsi="方正小标宋简体" w:eastAsia="方正小标宋简体" w:cs="方正小标宋简体"/>
          <w:bCs/>
          <w:sz w:val="36"/>
          <w:szCs w:val="36"/>
        </w:rPr>
        <w:t>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学习贯彻习近平新时代中国特色社会主义思想和党的十九大以及十九届二中、三中、四中、五中、六中全会精神，认真贯彻落实习近平总书记关于青年工作的重要思想，落实《中长期青年发展规划（2016-2025年）》，着力为党培养和输送青年政治骨干，根据《“青年马克思主义者培养工程”实施纲要》《关于</w:t>
      </w:r>
      <w:bookmarkStart w:id="0" w:name="_GoBack"/>
      <w:bookmarkEnd w:id="0"/>
      <w:r>
        <w:rPr>
          <w:rFonts w:hint="eastAsia" w:ascii="仿宋" w:hAnsi="仿宋" w:eastAsia="仿宋" w:cs="仿宋"/>
          <w:b w:val="0"/>
          <w:bCs w:val="0"/>
          <w:sz w:val="32"/>
          <w:szCs w:val="32"/>
          <w:lang w:val="en-US" w:eastAsia="zh-CN"/>
        </w:rPr>
        <w:t>在高校实施共青团“第二课堂成绩单”制度的意见》《关于深入实施青年马克思主义者培养工程的意见》《广东省实施青年马克思主义者培养工程方案》等文件要求，结合学校实际，制定北京师范大学珠海校区青年马克思主义者培养工程（以下简称“青马工程”）第二期培训班培养方案。具体内容如下。</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面贯彻党的教育方针，落实立德树人根本任务，用马克思主义中国化的最新理论成果武装青年学生，努力锻造一批有忠诚的政治品格、浓厚的家国情怀、扎实的理论功底、突出的能力素质，忠恕任事、人品服众的新时代青年马克思主义者。通过实施“青马工程”，切实增强学校共青团组织在青年学生中的凝聚力，打造一支适应新时代团学组织改革发展要求的团学骨干队伍，进一步彰显团学组织在学校“大思政”格局中的组织优势，影响和带动更多青年学生团结凝聚在党的周围，努力成长为具有坚定的马克思主义信仰、德才兼备、全面发展的社会主义合格建设者和可靠接班人。</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培养对象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（一）学员来源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“青马工程”学员主要来源于各书院团委、各研究生班级团支部、各学生团体中的团学骨干，以及在理论学习、学术科技、志愿服务、创新创业、文娱体育等方面表现优异或有突出特长的在籍在校2021</w:t>
      </w:r>
      <w:r>
        <w:rPr>
          <w:rFonts w:hint="eastAsia" w:ascii="仿宋" w:hAnsi="仿宋" w:eastAsia="仿宋" w:cs="仿宋"/>
          <w:sz w:val="32"/>
          <w:szCs w:val="32"/>
          <w:lang w:val="en-US" w:eastAsia="zh-CN"/>
        </w:rPr>
        <w:t>级</w:t>
      </w:r>
      <w:r>
        <w:rPr>
          <w:rFonts w:hint="eastAsia" w:ascii="仿宋" w:hAnsi="仿宋" w:eastAsia="仿宋" w:cs="仿宋"/>
          <w:sz w:val="32"/>
          <w:szCs w:val="32"/>
        </w:rPr>
        <w:t>本科生或研究生</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（二）基本条件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1.拥护党的领导，政治立场坚定，具有较强的历史使命感和社会责任感，积极宣传党的路线、方针、政策；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2.政治面貌为中共党员（含预备党员）或共青团员；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3.学习态度端正，成绩优良，上一学期的综合成绩排名在本年级本专业的前40%；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4.有参与“青马工程”的强烈意愿，能够保证全程参与课程学习及社会实践活动。</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（三）选拔方式</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“青马工程”学员通过组织推荐的方式报名，经过复核、公示等程序后录取，第二期培训班拟录取学员110人。</w:t>
      </w:r>
    </w:p>
    <w:p>
      <w:pPr>
        <w:keepNext w:val="0"/>
        <w:keepLines w:val="0"/>
        <w:pageBreakBefore w:val="0"/>
        <w:widowControl w:val="0"/>
        <w:numPr>
          <w:ilvl w:val="0"/>
          <w:numId w:val="2"/>
        </w:numPr>
        <w:kinsoku/>
        <w:wordWrap/>
        <w:overflowPunct/>
        <w:topLinePunct w:val="0"/>
        <w:autoSpaceDE/>
        <w:autoSpaceDN/>
        <w:bidi w:val="0"/>
        <w:adjustRightInd/>
        <w:snapToGrid/>
        <w:ind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名额分配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1.各书院团委、研究生管理服务中心推荐名额为55人；</w:t>
      </w:r>
    </w:p>
    <w:p>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2.校团委各部门、各中心、各组织推荐名额为55人。</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培养内容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（一）深化理论学习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引导学员读原著、学原文、悟原理，深读《习近平谈治国理政》等马克思主义经典著作，及时学习习近平总书记重要讲话重要指示精神。组织学员参加“青年大学习”等，理解党百年奋斗的光辉历程，明白中国共产党的领导、中国特色社会主义道路是历史的选择、人民的选择。从党的非凡历程中感悟马克思主义的真理力量和实践力量，坚定对马克思主义的信仰，增强对社会主义、共产主义的信念，对实现民族伟大复兴的信心，坚持爱党、爱国、爱社会主义高度统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邀请党政领导、专家学者就党的创新理论、重大政策以及社会热点等进行专题辅导。通过沙龙、论坛等形式，研讨经济社会发展的重要问题。原则上每位学员的理论学习总学时不少于80学时。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推荐书目详见附件。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（二）开展红色教育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引导学员积极弘扬民族精神和时代精神，不断增强对革命传统精神的理解，实现爱国主义精神的升华。通过主题团日等形式，组织学员赴革命传统教育基地、爱国主义教育基地、革命遗址等实地学习，参加祭奠革命先烈、重温入团誓词等仪式教育。组织学员寻访历史见证人，观看优秀典型事迹的影像资料、专题展览，邀请先进典型作事迹报告等。</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（三）参与社会实践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b/>
          <w:bCs/>
          <w:sz w:val="32"/>
          <w:szCs w:val="32"/>
          <w:lang w:val="en-US" w:eastAsia="zh-CN"/>
        </w:rPr>
      </w:pPr>
      <w:r>
        <w:rPr>
          <w:rFonts w:hint="eastAsia" w:ascii="仿宋" w:hAnsi="仿宋" w:eastAsia="仿宋" w:cs="仿宋"/>
          <w:b w:val="0"/>
          <w:bCs w:val="0"/>
          <w:sz w:val="32"/>
          <w:szCs w:val="32"/>
          <w:lang w:val="en-US" w:eastAsia="zh-CN"/>
        </w:rPr>
        <w:t xml:space="preserve">    引导学员加强社会观察，在基层一线、困难艰苦地方磨砺意志、锻炼品格、增长才干，不断增进与人民群众的感情。组织学员参加寒暑期社会实践，通过专题调研等方式更加全面、深入地了解社会。组织学员参加劳动教育，用实际行动让校园及周边环境变得更加美丽。组织学员参加“我为大家做件事”主题实践活动，通过扶贫帮困、敬老助残、支教助学、青少年服务、公共文明、环境保护、文明实践等志愿服务活动，增强学员的社会责任感。原则上每位学员应完成不少于20小时的志愿服务时长。</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培养时间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“青马工程”学员的培养周期为一年，第二期培训班学员从2022年5月至2023年4月。</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课程体系</w:t>
      </w:r>
    </w:p>
    <w:tbl>
      <w:tblPr>
        <w:tblStyle w:val="5"/>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00"/>
        <w:gridCol w:w="159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课程类型</w:t>
            </w: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课程主题</w:t>
            </w:r>
          </w:p>
        </w:tc>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培养形式</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课程性质</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理论学习</w:t>
            </w:r>
          </w:p>
        </w:tc>
        <w:tc>
          <w:tcPr>
            <w:tcW w:w="21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马克思主义理论与实践</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习近平新时代中国特色社会主义思想</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中共党史专题讲座</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中华优秀传统文化</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时政热点专题学习</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“青年大学习”线上主题团课</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学员沙龙（2场）</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青马论坛（2场）</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红色教育</w:t>
            </w: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线上红色纪念馆参观学习</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赴珠海革命传统教育基地、爱国主义教育基地参观学习</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赴全国革命传统教育基地、爱国主义教育基地参观学习</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选拔参加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社会实践</w:t>
            </w: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参访珠海市的高新技术企业</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参访珠海市的美丽乡村</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寒暑期社会实践</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专题调研</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劳动教育</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志愿服务</w:t>
            </w:r>
          </w:p>
        </w:tc>
        <w:tc>
          <w:tcPr>
            <w:tcW w:w="15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不少于20小时</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管理办法</w:t>
      </w:r>
    </w:p>
    <w:p>
      <w:pPr>
        <w:widowControl/>
        <w:spacing w:line="360" w:lineRule="auto"/>
        <w:jc w:val="left"/>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w:t>
      </w:r>
      <w:r>
        <w:rPr>
          <w:rFonts w:hint="eastAsia" w:ascii="楷体" w:hAnsi="楷体" w:eastAsia="楷体" w:cs="楷体"/>
          <w:b/>
          <w:bCs/>
          <w:kern w:val="0"/>
          <w:sz w:val="32"/>
          <w:szCs w:val="32"/>
          <w:lang w:val="en-US" w:eastAsia="zh-CN"/>
        </w:rPr>
        <w:t xml:space="preserve">  （一）班级管理框架</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1.班级自我管理：在班主任和班主任助理的指导下，班级实行自我管理，由“青马工程”第二期培训班学员选举产生临时团支部、班委会。</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2.班团一体化运行：临时团支部、班委会实行一体化运行，共有成员5人，包括团支部书记兼班长、团支部副书记兼副班长、组织委员兼学习委员、纪律委员兼生活委员、宣传委员兼文体委员。</w:t>
      </w:r>
    </w:p>
    <w:p>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（二）班级文化建设</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文化建设是班级建设的重要组成部分，包括班级管理制度、学员手册（包括学员资料、考勤、学习记录等内容）、班旗、班服、口号等。</w:t>
      </w:r>
    </w:p>
    <w:p>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（三）考勤及考核</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1.日常的出勤考核由纪律委员负责登记，每月向班长汇报，班长每月汇总一次班级考勤表，出勤率占总成绩的10%。</w:t>
      </w:r>
    </w:p>
    <w:p>
      <w:pPr>
        <w:widowControl/>
        <w:spacing w:line="360" w:lineRule="auto"/>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2.成绩考核由五部分组成：理论学习占30%，红色教育占20%，社会实践占20%，读书笔记占10%，结业考试占20%。</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3.“青马工程”学员必须严格遵守课堂纪律，无故旷课两次，或者迟到早退共计四次者，视为自动退出。</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4.学员修读全部必修课程，成绩合格，且无违纪记录方可结业。若因故未修完必修课程，可以通过修读选修课程补满学时。</w:t>
      </w:r>
    </w:p>
    <w:p>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（四）激励措施</w:t>
      </w:r>
    </w:p>
    <w:p>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校团委</w:t>
      </w:r>
      <w:r>
        <w:rPr>
          <w:rFonts w:hint="default" w:ascii="仿宋_GB2312" w:hAnsi="宋体" w:eastAsia="仿宋_GB2312"/>
          <w:kern w:val="0"/>
          <w:sz w:val="32"/>
          <w:szCs w:val="32"/>
          <w:lang w:val="en-US" w:eastAsia="zh-CN"/>
        </w:rPr>
        <w:t>将为每一位结业</w:t>
      </w:r>
      <w:r>
        <w:rPr>
          <w:rFonts w:hint="eastAsia" w:ascii="仿宋_GB2312" w:hAnsi="宋体" w:eastAsia="仿宋_GB2312"/>
          <w:kern w:val="0"/>
          <w:sz w:val="32"/>
          <w:szCs w:val="32"/>
          <w:lang w:val="en-US" w:eastAsia="zh-CN"/>
        </w:rPr>
        <w:t>学</w:t>
      </w:r>
      <w:r>
        <w:rPr>
          <w:rFonts w:hint="default" w:ascii="仿宋_GB2312" w:hAnsi="宋体" w:eastAsia="仿宋_GB2312"/>
          <w:kern w:val="0"/>
          <w:sz w:val="32"/>
          <w:szCs w:val="32"/>
          <w:lang w:val="en-US" w:eastAsia="zh-CN"/>
        </w:rPr>
        <w:t>员出具</w:t>
      </w:r>
      <w:r>
        <w:rPr>
          <w:rFonts w:hint="eastAsia" w:ascii="仿宋_GB2312" w:hAnsi="宋体" w:eastAsia="仿宋_GB2312"/>
          <w:kern w:val="0"/>
          <w:sz w:val="32"/>
          <w:szCs w:val="32"/>
          <w:lang w:val="en-US" w:eastAsia="zh-CN"/>
        </w:rPr>
        <w:t>“第二课堂成绩单”，将组织开展“青马工程”培训班评优工作，评选出优秀小组、优秀班干部、优秀学员标兵、优秀学员等。</w:t>
      </w: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p>
    <w:p>
      <w:pPr>
        <w:snapToGrid w:val="0"/>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p>
      <w:pPr>
        <w:snapToGrid w:val="0"/>
        <w:spacing w:line="360" w:lineRule="auto"/>
        <w:jc w:val="center"/>
        <w:rPr>
          <w:rFonts w:hint="default" w:ascii="仿宋_GB2312" w:hAnsi="宋体" w:eastAsia="仿宋_GB2312"/>
          <w:b/>
          <w:bCs/>
          <w:kern w:val="0"/>
          <w:sz w:val="32"/>
          <w:szCs w:val="32"/>
          <w:lang w:val="en-US" w:eastAsia="zh-CN"/>
        </w:rPr>
      </w:pPr>
      <w:r>
        <w:rPr>
          <w:rFonts w:hint="eastAsia" w:ascii="仿宋_GB2312" w:hAnsi="宋体" w:eastAsia="仿宋_GB2312"/>
          <w:b/>
          <w:bCs/>
          <w:kern w:val="0"/>
          <w:sz w:val="32"/>
          <w:szCs w:val="32"/>
          <w:lang w:val="en-US" w:eastAsia="zh-CN"/>
        </w:rPr>
        <w:t>参考书目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300"/>
        <w:gridCol w:w="193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序号</w:t>
            </w:r>
          </w:p>
        </w:tc>
        <w:tc>
          <w:tcPr>
            <w:tcW w:w="3300" w:type="dxa"/>
          </w:tcPr>
          <w:p>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书名</w:t>
            </w:r>
          </w:p>
        </w:tc>
        <w:tc>
          <w:tcPr>
            <w:tcW w:w="1935" w:type="dxa"/>
          </w:tcPr>
          <w:p>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出版社</w:t>
            </w:r>
          </w:p>
        </w:tc>
        <w:tc>
          <w:tcPr>
            <w:tcW w:w="2460" w:type="dxa"/>
          </w:tcPr>
          <w:p>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w:t>
            </w:r>
          </w:p>
        </w:tc>
        <w:tc>
          <w:tcPr>
            <w:tcW w:w="3300" w:type="dxa"/>
            <w:vAlign w:val="center"/>
          </w:tcPr>
          <w:p>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《共产党宣言》</w:t>
            </w:r>
          </w:p>
        </w:tc>
        <w:tc>
          <w:tcPr>
            <w:tcW w:w="1935" w:type="dxa"/>
            <w:vAlign w:val="center"/>
          </w:tcPr>
          <w:p>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马克思、恩格斯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《资本论》</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《1844年经济学哲学手稿》</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《反杜林论》</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恩格斯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《哥达纲领批判》</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《列宁专题文集》</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中共中央马克思恩格斯列宁斯大林著作编译局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7</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《马列主义经典著作选编学习导读》</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党建读物出版社</w:t>
            </w:r>
          </w:p>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学习出版社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中共中央组织部、中共中央宣传部和中共中央编译局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8</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《马克思主义发展史纲》</w:t>
            </w:r>
          </w:p>
        </w:tc>
        <w:tc>
          <w:tcPr>
            <w:tcW w:w="1935"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中共中央党校出版社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王怀超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《马克思恩格斯列宁哲学论述摘编》</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中央编译出版社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中央编译局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《旧制度与大革命》</w:t>
            </w:r>
          </w:p>
        </w:tc>
        <w:tc>
          <w:tcPr>
            <w:tcW w:w="1935"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商务印书馆</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托克维尔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11</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《毛泽东传（1893—1949）》</w:t>
            </w:r>
          </w:p>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《毛泽东传（1949—1976）》</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12</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《毛泽东著作专题摘编》</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中央文献出版社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13</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《毛泽东选集》</w:t>
            </w:r>
          </w:p>
        </w:tc>
        <w:tc>
          <w:tcPr>
            <w:tcW w:w="1935" w:type="dxa"/>
            <w:vAlign w:val="center"/>
          </w:tcPr>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14</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《邓小平传》</w:t>
            </w:r>
          </w:p>
        </w:tc>
        <w:tc>
          <w:tcPr>
            <w:tcW w:w="1935" w:type="dxa"/>
            <w:vAlign w:val="center"/>
          </w:tcPr>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《邓小平文选》</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中共中央文献编辑委员会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16</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《江泽民文选》</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中共中央文献编辑委员会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17</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《科学发展观重要论述摘编》</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18</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《科学发展观学习纲要》</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19</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《习近平总书记系列重要讲话读本》</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《习近平新时代中国特色社会主义思想学习纲要》</w:t>
            </w:r>
          </w:p>
        </w:tc>
        <w:tc>
          <w:tcPr>
            <w:tcW w:w="1935"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学习出版社</w:t>
            </w:r>
          </w:p>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21</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《习近平新时代中国特色社会主义思想三十讲》</w:t>
            </w:r>
          </w:p>
        </w:tc>
        <w:tc>
          <w:tcPr>
            <w:tcW w:w="1935"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学习出版社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22</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《习近平谈治国理政（第一卷）》</w:t>
            </w:r>
          </w:p>
        </w:tc>
        <w:tc>
          <w:tcPr>
            <w:tcW w:w="1935" w:type="dxa"/>
            <w:vAlign w:val="center"/>
          </w:tcPr>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23</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《习近平谈治国理政（第二卷）》</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24</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《习近平谈治国理政（第三卷）》</w:t>
            </w:r>
          </w:p>
        </w:tc>
        <w:tc>
          <w:tcPr>
            <w:tcW w:w="1935" w:type="dxa"/>
            <w:vAlign w:val="center"/>
          </w:tcPr>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25</w:t>
            </w:r>
          </w:p>
        </w:tc>
        <w:tc>
          <w:tcPr>
            <w:tcW w:w="3300" w:type="dxa"/>
            <w:vAlign w:val="center"/>
          </w:tcPr>
          <w:p>
            <w:pPr>
              <w:keepNext/>
              <w:keepLines/>
              <w:spacing w:before="340" w:after="330" w:line="360" w:lineRule="auto"/>
              <w:jc w:val="left"/>
              <w:outlineLvl w:val="0"/>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《习近平关于青少年和共青团工作论述摘编》</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中央文献出版社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26</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《论中国共产党历史》</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中央文献出版社</w:t>
            </w:r>
          </w:p>
        </w:tc>
        <w:tc>
          <w:tcPr>
            <w:tcW w:w="246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习近平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27</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《毛泽东、 邓小平、 江泽民、 胡锦涛关于中国共产党历史论述摘编》</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中央文献出版社</w:t>
            </w:r>
          </w:p>
        </w:tc>
        <w:tc>
          <w:tcPr>
            <w:tcW w:w="2460" w:type="dxa"/>
            <w:vAlign w:val="center"/>
          </w:tcPr>
          <w:p>
            <w:pPr>
              <w:spacing w:line="360" w:lineRule="auto"/>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中共中央党史和文献研究院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28</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《习近平新时代中国特色社会主义思想学习问答》</w:t>
            </w:r>
          </w:p>
        </w:tc>
        <w:tc>
          <w:tcPr>
            <w:tcW w:w="1935"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人民出版社</w:t>
            </w:r>
          </w:p>
        </w:tc>
        <w:tc>
          <w:tcPr>
            <w:tcW w:w="246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中共中央宣传部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29</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《中国共产党简史》</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中共党史出版社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30</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《中国共产党历史(第一卷)》</w:t>
            </w:r>
          </w:p>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《中国共产党历史(第二卷)》</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中共党史出版社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31</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《中国共产党的九十年》</w:t>
            </w:r>
          </w:p>
        </w:tc>
        <w:tc>
          <w:tcPr>
            <w:tcW w:w="1935" w:type="dxa"/>
            <w:vAlign w:val="center"/>
          </w:tcPr>
          <w:p>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中共党史出版社</w:t>
            </w:r>
          </w:p>
          <w:p>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党建读物出版社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32</w:t>
            </w:r>
          </w:p>
        </w:tc>
        <w:tc>
          <w:tcPr>
            <w:tcW w:w="330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中共党史知识问答</w:t>
            </w:r>
            <w:r>
              <w:rPr>
                <w:rFonts w:hint="eastAsia" w:ascii="仿宋" w:hAnsi="仿宋" w:eastAsia="仿宋" w:cs="仿宋"/>
                <w:sz w:val="21"/>
                <w:szCs w:val="21"/>
                <w:lang w:eastAsia="zh-CN"/>
              </w:rPr>
              <w:t>》</w:t>
            </w:r>
          </w:p>
        </w:tc>
        <w:tc>
          <w:tcPr>
            <w:tcW w:w="1935" w:type="dxa"/>
            <w:vAlign w:val="center"/>
          </w:tcPr>
          <w:p>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人民出版社</w:t>
            </w:r>
          </w:p>
        </w:tc>
        <w:tc>
          <w:tcPr>
            <w:tcW w:w="2460" w:type="dxa"/>
            <w:vAlign w:val="center"/>
          </w:tcPr>
          <w:p>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中共中央党校中共党史党史教研部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33</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《习近平的七年知青岁月》</w:t>
            </w:r>
          </w:p>
        </w:tc>
        <w:tc>
          <w:tcPr>
            <w:tcW w:w="1935" w:type="dxa"/>
            <w:vAlign w:val="center"/>
          </w:tcPr>
          <w:p>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学习出版社</w:t>
            </w:r>
          </w:p>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党建读物出版社</w:t>
            </w:r>
          </w:p>
        </w:tc>
        <w:tc>
          <w:tcPr>
            <w:tcW w:w="246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中宣部理论局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34</w:t>
            </w:r>
          </w:p>
        </w:tc>
        <w:tc>
          <w:tcPr>
            <w:tcW w:w="3300"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习近平与大学生朋友们</w:t>
            </w:r>
            <w:r>
              <w:rPr>
                <w:rFonts w:hint="eastAsia" w:ascii="仿宋" w:hAnsi="仿宋" w:eastAsia="仿宋" w:cs="仿宋"/>
                <w:sz w:val="21"/>
                <w:szCs w:val="21"/>
                <w:lang w:eastAsia="zh-CN"/>
              </w:rPr>
              <w:t>》</w:t>
            </w:r>
          </w:p>
        </w:tc>
        <w:tc>
          <w:tcPr>
            <w:tcW w:w="1935" w:type="dxa"/>
            <w:vAlign w:val="center"/>
          </w:tcPr>
          <w:p>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中国青年出版社</w:t>
            </w:r>
          </w:p>
        </w:tc>
        <w:tc>
          <w:tcPr>
            <w:tcW w:w="2460" w:type="dxa"/>
            <w:vAlign w:val="center"/>
          </w:tcPr>
          <w:p>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编写组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35</w:t>
            </w:r>
          </w:p>
        </w:tc>
        <w:tc>
          <w:tcPr>
            <w:tcW w:w="3300" w:type="dxa"/>
            <w:vAlign w:val="center"/>
          </w:tcPr>
          <w:p>
            <w:pPr>
              <w:spacing w:line="360" w:lineRule="auto"/>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新编青年马克思主义者培养工程读本</w:t>
            </w:r>
            <w:r>
              <w:rPr>
                <w:rFonts w:hint="eastAsia" w:ascii="仿宋" w:hAnsi="仿宋" w:eastAsia="仿宋" w:cs="仿宋"/>
                <w:sz w:val="21"/>
                <w:szCs w:val="21"/>
                <w:lang w:eastAsia="zh-CN"/>
              </w:rPr>
              <w:t>》</w:t>
            </w:r>
          </w:p>
        </w:tc>
        <w:tc>
          <w:tcPr>
            <w:tcW w:w="1935" w:type="dxa"/>
            <w:vAlign w:val="center"/>
          </w:tcPr>
          <w:p>
            <w:pPr>
              <w:spacing w:line="360" w:lineRule="auto"/>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中共中央党校出版社</w:t>
            </w:r>
          </w:p>
        </w:tc>
        <w:tc>
          <w:tcPr>
            <w:tcW w:w="2460" w:type="dxa"/>
            <w:vAlign w:val="center"/>
          </w:tcPr>
          <w:p>
            <w:pPr>
              <w:spacing w:line="360" w:lineRule="auto"/>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陈佳湘、程海艳、王瑶珺主编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36</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《苦难辉煌》</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作家出版社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金一南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37</w:t>
            </w:r>
          </w:p>
        </w:tc>
        <w:tc>
          <w:tcPr>
            <w:tcW w:w="3300" w:type="dxa"/>
            <w:vAlign w:val="center"/>
          </w:tcPr>
          <w:p>
            <w:pPr>
              <w:spacing w:line="360" w:lineRule="auto"/>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《从鸦片战争到五四运动》（上）</w:t>
            </w:r>
          </w:p>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《从鸦片战争到五四运动》（下）</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胡绳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《风雨兼程：影响中国历史进程的中共历次党代会》</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新华出版社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柳建辉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39</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《日出东方——中国共产党创建纪实》</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邵维正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40</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《上下求索九十年：中国共产党建党以来马克思主义中国化、时代化和大众化的求索历程》</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上海学林出版社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潘世伟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41</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《历史的轨迹：中国共产党为什么能（修订版）》</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新世界出版社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谢春涛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42</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《中国震撼：一个“文明型国家”的崛起》</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上海人民出版社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张维为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43</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《中国道路——马克思主义中国化经典文献回眸》</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中央文献出版社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中央文献研究室课题组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44</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《中国共产党创立之路》</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上海市人民出版社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中共上海市党史研究室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3" w:type="dxa"/>
            <w:vAlign w:val="center"/>
          </w:tcPr>
          <w:p>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45</w:t>
            </w:r>
          </w:p>
        </w:tc>
        <w:tc>
          <w:tcPr>
            <w:tcW w:w="3300" w:type="dxa"/>
            <w:vAlign w:val="center"/>
          </w:tcPr>
          <w:p>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《党史必修课》</w:t>
            </w:r>
          </w:p>
        </w:tc>
        <w:tc>
          <w:tcPr>
            <w:tcW w:w="1935"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人民日报出版社</w:t>
            </w:r>
          </w:p>
        </w:tc>
        <w:tc>
          <w:tcPr>
            <w:tcW w:w="2460" w:type="dxa"/>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张珊珍</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DE6CF-89B1-4F37-921B-794A86D3A0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636CDA3-EFA0-47DA-AF2D-02F3A171C1B9}"/>
  </w:font>
  <w:font w:name="仿宋">
    <w:panose1 w:val="02010609060101010101"/>
    <w:charset w:val="86"/>
    <w:family w:val="modern"/>
    <w:pitch w:val="default"/>
    <w:sig w:usb0="800002BF" w:usb1="38CF7CFA" w:usb2="00000016" w:usb3="00000000" w:csb0="00040001" w:csb1="00000000"/>
    <w:embedRegular r:id="rId3" w:fontKey="{03514CC0-C647-4392-A2DE-04CE7BE9F64D}"/>
  </w:font>
  <w:font w:name="楷体">
    <w:panose1 w:val="02010609060101010101"/>
    <w:charset w:val="86"/>
    <w:family w:val="auto"/>
    <w:pitch w:val="default"/>
    <w:sig w:usb0="800002BF" w:usb1="38CF7CFA" w:usb2="00000016" w:usb3="00000000" w:csb0="00040001" w:csb1="00000000"/>
    <w:embedRegular r:id="rId4" w:fontKey="{EFACECBC-CDD0-4DFC-B082-943AA39075BE}"/>
  </w:font>
  <w:font w:name="仿宋_GB2312">
    <w:panose1 w:val="02010609030101010101"/>
    <w:charset w:val="86"/>
    <w:family w:val="modern"/>
    <w:pitch w:val="default"/>
    <w:sig w:usb0="00000001" w:usb1="080E0000" w:usb2="00000000" w:usb3="00000000" w:csb0="00040000" w:csb1="00000000"/>
    <w:embedRegular r:id="rId5" w:fontKey="{7366A521-57ED-4AA4-B60E-82D6044F09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E8FA6"/>
    <w:multiLevelType w:val="singleLevel"/>
    <w:tmpl w:val="0D7E8FA6"/>
    <w:lvl w:ilvl="0" w:tentative="0">
      <w:start w:val="4"/>
      <w:numFmt w:val="chineseCounting"/>
      <w:suff w:val="nothing"/>
      <w:lvlText w:val="（%1）"/>
      <w:lvlJc w:val="left"/>
      <w:rPr>
        <w:rFonts w:hint="eastAsia"/>
      </w:rPr>
    </w:lvl>
  </w:abstractNum>
  <w:abstractNum w:abstractNumId="1">
    <w:nsid w:val="1EC04805"/>
    <w:multiLevelType w:val="singleLevel"/>
    <w:tmpl w:val="1EC048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B29DC"/>
    <w:rsid w:val="001F05C1"/>
    <w:rsid w:val="004954F0"/>
    <w:rsid w:val="00CF4A5A"/>
    <w:rsid w:val="01026129"/>
    <w:rsid w:val="02935750"/>
    <w:rsid w:val="02F37F89"/>
    <w:rsid w:val="03871443"/>
    <w:rsid w:val="03997428"/>
    <w:rsid w:val="03D86686"/>
    <w:rsid w:val="03FF1969"/>
    <w:rsid w:val="061B1F5B"/>
    <w:rsid w:val="06D24158"/>
    <w:rsid w:val="079B0BED"/>
    <w:rsid w:val="079C4C81"/>
    <w:rsid w:val="08436EB1"/>
    <w:rsid w:val="08570EAA"/>
    <w:rsid w:val="0AE25AAB"/>
    <w:rsid w:val="0AF63DE0"/>
    <w:rsid w:val="0B035375"/>
    <w:rsid w:val="0BC21961"/>
    <w:rsid w:val="0C031F78"/>
    <w:rsid w:val="0CB666A6"/>
    <w:rsid w:val="0CDF1AFD"/>
    <w:rsid w:val="0F1B09D3"/>
    <w:rsid w:val="0FD04BFE"/>
    <w:rsid w:val="10F1372C"/>
    <w:rsid w:val="1194690D"/>
    <w:rsid w:val="119A5B15"/>
    <w:rsid w:val="11FA5745"/>
    <w:rsid w:val="12ED2AE7"/>
    <w:rsid w:val="12F210B0"/>
    <w:rsid w:val="13A5338F"/>
    <w:rsid w:val="14042558"/>
    <w:rsid w:val="14253FE1"/>
    <w:rsid w:val="14263855"/>
    <w:rsid w:val="14A558D5"/>
    <w:rsid w:val="15864359"/>
    <w:rsid w:val="17C90A7A"/>
    <w:rsid w:val="182E0C14"/>
    <w:rsid w:val="1848421B"/>
    <w:rsid w:val="195478C4"/>
    <w:rsid w:val="1D10001A"/>
    <w:rsid w:val="1DBC0EA6"/>
    <w:rsid w:val="1E2D5CDB"/>
    <w:rsid w:val="1E4322A9"/>
    <w:rsid w:val="1E493C27"/>
    <w:rsid w:val="1E4A5750"/>
    <w:rsid w:val="1EA04800"/>
    <w:rsid w:val="1F4561B0"/>
    <w:rsid w:val="1F4D17D1"/>
    <w:rsid w:val="20FC7BCC"/>
    <w:rsid w:val="21C437FC"/>
    <w:rsid w:val="24566F81"/>
    <w:rsid w:val="251063B7"/>
    <w:rsid w:val="25355187"/>
    <w:rsid w:val="2570277F"/>
    <w:rsid w:val="259C0A1D"/>
    <w:rsid w:val="264E0ABA"/>
    <w:rsid w:val="286117EF"/>
    <w:rsid w:val="29125A1D"/>
    <w:rsid w:val="29740647"/>
    <w:rsid w:val="29C620AC"/>
    <w:rsid w:val="2A9871C1"/>
    <w:rsid w:val="2BE7502C"/>
    <w:rsid w:val="2D3A1902"/>
    <w:rsid w:val="2E3D3C16"/>
    <w:rsid w:val="2E661D00"/>
    <w:rsid w:val="2EC14E24"/>
    <w:rsid w:val="2EF72A12"/>
    <w:rsid w:val="2F322F38"/>
    <w:rsid w:val="2F7B646C"/>
    <w:rsid w:val="2FA35E26"/>
    <w:rsid w:val="300A5630"/>
    <w:rsid w:val="311D5E48"/>
    <w:rsid w:val="314C14E8"/>
    <w:rsid w:val="31E76478"/>
    <w:rsid w:val="31F634EF"/>
    <w:rsid w:val="32060D0C"/>
    <w:rsid w:val="324A3A2E"/>
    <w:rsid w:val="3258748B"/>
    <w:rsid w:val="32ED0E7C"/>
    <w:rsid w:val="33BA1CBF"/>
    <w:rsid w:val="33FB4A2B"/>
    <w:rsid w:val="34D709B6"/>
    <w:rsid w:val="34FD6312"/>
    <w:rsid w:val="35EC3EA4"/>
    <w:rsid w:val="36ED18B6"/>
    <w:rsid w:val="37CC234C"/>
    <w:rsid w:val="37E06BB6"/>
    <w:rsid w:val="381F4D6F"/>
    <w:rsid w:val="382A0742"/>
    <w:rsid w:val="38302906"/>
    <w:rsid w:val="38641E35"/>
    <w:rsid w:val="38B4371F"/>
    <w:rsid w:val="39BA08BE"/>
    <w:rsid w:val="3A0F1CCB"/>
    <w:rsid w:val="3A6E79A6"/>
    <w:rsid w:val="3B161DE0"/>
    <w:rsid w:val="3CD26BE5"/>
    <w:rsid w:val="3CE5616C"/>
    <w:rsid w:val="3D4A6CE3"/>
    <w:rsid w:val="3D76286B"/>
    <w:rsid w:val="3DA40B3E"/>
    <w:rsid w:val="3E2432F3"/>
    <w:rsid w:val="3F9211FC"/>
    <w:rsid w:val="40454F5D"/>
    <w:rsid w:val="40726BD6"/>
    <w:rsid w:val="41213FE0"/>
    <w:rsid w:val="423D6A82"/>
    <w:rsid w:val="426C4261"/>
    <w:rsid w:val="436A1EA2"/>
    <w:rsid w:val="43846BF3"/>
    <w:rsid w:val="43A2392A"/>
    <w:rsid w:val="44CA23E0"/>
    <w:rsid w:val="4686562F"/>
    <w:rsid w:val="469B0428"/>
    <w:rsid w:val="46C42EBA"/>
    <w:rsid w:val="475C2A61"/>
    <w:rsid w:val="47A556C9"/>
    <w:rsid w:val="480E6379"/>
    <w:rsid w:val="48F42144"/>
    <w:rsid w:val="49255EE3"/>
    <w:rsid w:val="49DD31D0"/>
    <w:rsid w:val="4A90032C"/>
    <w:rsid w:val="4AB11379"/>
    <w:rsid w:val="4AD417E9"/>
    <w:rsid w:val="4D0B29DC"/>
    <w:rsid w:val="4E796B51"/>
    <w:rsid w:val="4FA00B4B"/>
    <w:rsid w:val="508D339D"/>
    <w:rsid w:val="50EF2AF1"/>
    <w:rsid w:val="530604B4"/>
    <w:rsid w:val="541D45DA"/>
    <w:rsid w:val="55907837"/>
    <w:rsid w:val="58525D6E"/>
    <w:rsid w:val="5ACD15A2"/>
    <w:rsid w:val="5AF0750E"/>
    <w:rsid w:val="5B143357"/>
    <w:rsid w:val="5BFA07E1"/>
    <w:rsid w:val="5C0171DD"/>
    <w:rsid w:val="5C761F86"/>
    <w:rsid w:val="5D005D02"/>
    <w:rsid w:val="5DE453A9"/>
    <w:rsid w:val="5EC83DA8"/>
    <w:rsid w:val="5F786D11"/>
    <w:rsid w:val="6021785C"/>
    <w:rsid w:val="60B54E5E"/>
    <w:rsid w:val="61241F82"/>
    <w:rsid w:val="616F699B"/>
    <w:rsid w:val="62553E41"/>
    <w:rsid w:val="62AD0A8B"/>
    <w:rsid w:val="656426EE"/>
    <w:rsid w:val="65AF2C09"/>
    <w:rsid w:val="66704EE8"/>
    <w:rsid w:val="669C36C7"/>
    <w:rsid w:val="673D4011"/>
    <w:rsid w:val="675E4014"/>
    <w:rsid w:val="6769328A"/>
    <w:rsid w:val="69601A74"/>
    <w:rsid w:val="699E0738"/>
    <w:rsid w:val="6A2526FB"/>
    <w:rsid w:val="6B560B4B"/>
    <w:rsid w:val="6D4330B2"/>
    <w:rsid w:val="6E45756E"/>
    <w:rsid w:val="6FE063F2"/>
    <w:rsid w:val="72246DF7"/>
    <w:rsid w:val="72881944"/>
    <w:rsid w:val="73013D8A"/>
    <w:rsid w:val="744A0EB2"/>
    <w:rsid w:val="75B02D1E"/>
    <w:rsid w:val="75B30D9E"/>
    <w:rsid w:val="76416007"/>
    <w:rsid w:val="7681351A"/>
    <w:rsid w:val="76D24AAA"/>
    <w:rsid w:val="772A4AE3"/>
    <w:rsid w:val="77373A5E"/>
    <w:rsid w:val="78CD4310"/>
    <w:rsid w:val="78DD6F32"/>
    <w:rsid w:val="79BB756A"/>
    <w:rsid w:val="79F428A6"/>
    <w:rsid w:val="7C8D4901"/>
    <w:rsid w:val="7DF71363"/>
    <w:rsid w:val="7E22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2021-02-18T03:06:00Z</dcterms:created>
  <dc:creator>张洪霞</dc:creator>
  <cp:lastModifiedBy>eve</cp:lastModifiedBy>
  <cp:lastPrinted>2022-03-21T02:32:37Z</cp:lastPrinted>
  <dcterms:modified xsi:type="dcterms:W3CDTF">2022-03-21T02:38:33Z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57372396CC2041CF965915F378401C07</vt:lpwstr>
  </property>
</Properties>
</file>