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F9B4">
      <w:pPr>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-7620</wp:posOffset>
                </wp:positionV>
                <wp:extent cx="1129665" cy="342900"/>
                <wp:effectExtent l="4445" t="4445" r="8890" b="14605"/>
                <wp:wrapNone/>
                <wp:docPr id="3" name="文本框 3"/>
                <wp:cNvGraphicFramePr/>
                <a:graphic xmlns:a="http://schemas.openxmlformats.org/drawingml/2006/main">
                  <a:graphicData uri="http://schemas.microsoft.com/office/word/2010/wordprocessingShape">
                    <wps:wsp>
                      <wps:cNvSpPr txBox="1"/>
                      <wps:spPr>
                        <a:xfrm>
                          <a:off x="0" y="0"/>
                          <a:ext cx="1129665"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0DEBA67">
                            <w:pPr>
                              <w:rPr>
                                <w:rFonts w:ascii="Times New Roman" w:hAnsi="Times New Roman" w:eastAsia="仿宋_GB2312" w:cs="Times New Roman"/>
                                <w:sz w:val="28"/>
                                <w:szCs w:val="28"/>
                              </w:rPr>
                            </w:pPr>
                            <w:r>
                              <w:rPr>
                                <w:rFonts w:ascii="Times New Roman" w:hAnsi="Times New Roman" w:eastAsia="仿宋_GB2312" w:cs="Times New Roman"/>
                                <w:sz w:val="28"/>
                                <w:szCs w:val="28"/>
                              </w:rPr>
                              <w:t>附件1</w:t>
                            </w:r>
                          </w:p>
                          <w:p w14:paraId="3BA1DF87">
                            <w:pPr>
                              <w:rPr>
                                <w:rFonts w:ascii="Times New Roman" w:hAnsi="Times New Roman" w:eastAsia="仿宋_GB2312" w:cs="Times New Roman"/>
                                <w:sz w:val="28"/>
                                <w:szCs w:val="28"/>
                              </w:rPr>
                            </w:pPr>
                          </w:p>
                        </w:txbxContent>
                      </wps:txbx>
                      <wps:bodyPr upright="1"/>
                    </wps:wsp>
                  </a:graphicData>
                </a:graphic>
              </wp:anchor>
            </w:drawing>
          </mc:Choice>
          <mc:Fallback>
            <w:pict>
              <v:shape id="_x0000_s1026" o:spid="_x0000_s1026" o:spt="202" type="#_x0000_t202" style="position:absolute;left:0pt;margin-left:-3.15pt;margin-top:-0.6pt;height:27pt;width:88.95pt;z-index:251659264;mso-width-relative:page;mso-height-relative:page;" fillcolor="#FFFFFF" filled="t" stroked="t" coordsize="21600,21600" o:gfxdata="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4JGHdcAAAAIAQAADwAAAAAAAAABACAAAAAiAAAA&#10;ZHJzL2Rvd25yZXYueG1sUEsBAhQAFAAAAAgAh07iQMBb+RsIAgAANgQAAA4AAAAAAAAAAQAgAAAA&#10;JgEAAGRycy9lMm9Eb2MueG1sUEsFBgAAAAAGAAYAWQEAAKAFAAAAAA==&#10;">
                <v:fill on="t" focussize="0,0"/>
                <v:stroke color="#FFFFFF" joinstyle="miter"/>
                <v:imagedata o:title=""/>
                <o:lock v:ext="edit" aspectratio="f"/>
                <v:textbox>
                  <w:txbxContent>
                    <w:p w14:paraId="40DEBA67">
                      <w:pPr>
                        <w:rPr>
                          <w:rFonts w:ascii="Times New Roman" w:hAnsi="Times New Roman" w:eastAsia="仿宋_GB2312" w:cs="Times New Roman"/>
                          <w:sz w:val="28"/>
                          <w:szCs w:val="28"/>
                        </w:rPr>
                      </w:pPr>
                      <w:r>
                        <w:rPr>
                          <w:rFonts w:ascii="Times New Roman" w:hAnsi="Times New Roman" w:eastAsia="仿宋_GB2312" w:cs="Times New Roman"/>
                          <w:sz w:val="28"/>
                          <w:szCs w:val="28"/>
                        </w:rPr>
                        <w:t>附件1</w:t>
                      </w:r>
                    </w:p>
                    <w:p w14:paraId="3BA1DF87">
                      <w:pPr>
                        <w:rPr>
                          <w:rFonts w:ascii="Times New Roman" w:hAnsi="Times New Roman" w:eastAsia="仿宋_GB2312" w:cs="Times New Roman"/>
                          <w:sz w:val="28"/>
                          <w:szCs w:val="28"/>
                        </w:rPr>
                      </w:pPr>
                    </w:p>
                  </w:txbxContent>
                </v:textbox>
              </v:shape>
            </w:pict>
          </mc:Fallback>
        </mc:AlternateContent>
      </w:r>
    </w:p>
    <w:p w14:paraId="2A303008">
      <w:pPr>
        <w:pStyle w:val="2"/>
      </w:pPr>
    </w:p>
    <w:p w14:paraId="15AF5AE1">
      <w:pPr>
        <w:jc w:val="center"/>
        <w:rPr>
          <w:rFonts w:ascii="方正小标宋简体" w:hAnsi="方正小标宋简体" w:eastAsia="方正小标宋简体" w:cs="方正小标宋简体"/>
          <w:kern w:val="2"/>
          <w:sz w:val="44"/>
          <w:szCs w:val="11"/>
        </w:rPr>
      </w:pPr>
      <w:r>
        <w:rPr>
          <w:rFonts w:hint="eastAsia" w:ascii="方正小标宋简体" w:hAnsi="方正小标宋简体" w:eastAsia="方正小标宋简体" w:cs="方正小标宋简体"/>
          <w:kern w:val="2"/>
          <w:sz w:val="44"/>
          <w:szCs w:val="11"/>
        </w:rPr>
        <w:t>202</w:t>
      </w:r>
      <w:r>
        <w:rPr>
          <w:rFonts w:hint="eastAsia" w:ascii="方正小标宋简体" w:hAnsi="方正小标宋简体" w:eastAsia="方正小标宋简体" w:cs="方正小标宋简体"/>
          <w:kern w:val="2"/>
          <w:sz w:val="44"/>
          <w:szCs w:val="11"/>
          <w:lang w:val="en-US" w:eastAsia="zh-CN"/>
        </w:rPr>
        <w:t>6</w:t>
      </w:r>
      <w:r>
        <w:rPr>
          <w:rFonts w:hint="eastAsia" w:ascii="方正小标宋简体" w:hAnsi="方正小标宋简体" w:eastAsia="方正小标宋简体" w:cs="方正小标宋简体"/>
          <w:kern w:val="2"/>
          <w:sz w:val="44"/>
          <w:szCs w:val="11"/>
        </w:rPr>
        <w:t>年“优师计划”政策实施调研课题</w:t>
      </w:r>
    </w:p>
    <w:p w14:paraId="033E3785">
      <w:pPr>
        <w:jc w:val="center"/>
        <w:rPr>
          <w:rFonts w:ascii="方正小标宋简体" w:hAnsi="方正小标宋简体" w:eastAsia="方正小标宋简体" w:cs="方正小标宋简体"/>
          <w:kern w:val="2"/>
          <w:sz w:val="44"/>
          <w:szCs w:val="11"/>
        </w:rPr>
      </w:pPr>
      <w:r>
        <w:rPr>
          <w:rFonts w:hint="eastAsia" w:ascii="方正小标宋简体" w:hAnsi="方正小标宋简体" w:eastAsia="方正小标宋简体" w:cs="方正小标宋简体"/>
          <w:kern w:val="2"/>
          <w:sz w:val="44"/>
          <w:szCs w:val="11"/>
        </w:rPr>
        <w:t>选题参考指南</w:t>
      </w:r>
    </w:p>
    <w:p w14:paraId="04E48B43">
      <w:pPr>
        <w:pStyle w:val="3"/>
        <w:spacing w:beforeLines="100" w:after="0" w:line="560" w:lineRule="exact"/>
        <w:ind w:firstLine="640" w:firstLineChars="200"/>
        <w:jc w:val="both"/>
        <w:rPr>
          <w:rFonts w:ascii="黑体" w:hAnsi="黑体" w:eastAsia="黑体" w:cs="黑体"/>
          <w:b w:val="0"/>
          <w:bCs w:val="0"/>
          <w:sz w:val="32"/>
          <w:szCs w:val="32"/>
        </w:rPr>
      </w:pPr>
      <w:r>
        <w:rPr>
          <w:rFonts w:hint="eastAsia" w:ascii="黑体" w:hAnsi="黑体" w:eastAsia="黑体" w:cs="黑体"/>
          <w:b w:val="0"/>
          <w:bCs w:val="0"/>
          <w:sz w:val="32"/>
          <w:szCs w:val="32"/>
        </w:rPr>
        <w:t>一、政策执行效果类</w:t>
      </w:r>
    </w:p>
    <w:p w14:paraId="4EBF47AF">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（一）县域基础教育师资需求与“优师计划”培养适配性研究——基于XX县（市）的实证</w:t>
      </w:r>
      <w:bookmarkStart w:id="0" w:name="_GoBack"/>
      <w:bookmarkEnd w:id="0"/>
      <w:r>
        <w:rPr>
          <w:rFonts w:hint="eastAsia" w:ascii="楷体_GB2312" w:hAnsi="楷体_GB2312" w:eastAsia="楷体_GB2312" w:cs="楷体_GB2312"/>
          <w:b/>
          <w:bCs/>
          <w:sz w:val="32"/>
          <w:szCs w:val="32"/>
        </w:rPr>
        <w:t>调查研究</w:t>
      </w:r>
    </w:p>
    <w:p w14:paraId="1B2DD3D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聚焦县域基础教育阶段（小学/初中/高中）各学科师资，通过问卷调查、校长与教研组长访谈等方式，系统梳理地方在师资数量、学科结构、能力素养（如信息化教学能力、跨学科教学能力）等方面的具体需求。同时，对比“优师计划”现有培养方案中的课程设置、实践环节与地方需求的匹配度，分析存在的供需缺口，提出优化培养目标、调整课程体系的具体建议，为“优师计划”培养更契合地方需求的师资提供实证支撑。</w:t>
      </w:r>
    </w:p>
    <w:p w14:paraId="4824B067">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（二）返乡从教“优师计划”毕业生职业发展困境及支持体系构建研究</w:t>
      </w:r>
    </w:p>
    <w:p w14:paraId="42903C5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返乡从教的“优师计划”毕业生为研究样本，采用深度访谈、参与式观察结合问卷调查的方法，深入探究其在职业发展中面临的具体困境，如教学资源匮乏、专业培训机会不足、职称晋升通道不畅、工作生活平衡压力等。在此基础上，从政府、高校、中小学三方协同视角，构建包含政策保障、专业发展支持、心理疏导等维度的职业发展支持体系，为提升返乡优师留存率与发展质量提供可行路径。</w:t>
      </w:r>
    </w:p>
    <w:p w14:paraId="32674559">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（三）人工智能赋能县域教师专业发展的路径与效果评估研究</w:t>
      </w:r>
    </w:p>
    <w:p w14:paraId="3EDC313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取已尝试应用AI教育工具（如智能备课系统、个性化辅导平台）的县域学校为调研场景，通过对教师、学生及学校管理者的访谈，结合课堂观察与教学数据收集，分析人工智能在乡村教师备课效率提升、教学方法创新、学生学习效果改善等方面的实际应用情况。同时，评估AI赋能过程中存在的技术门槛、资源适配性、伦理风险等问题，提出符合乡村教育实际的AI+教师发展落地策略。</w:t>
      </w:r>
    </w:p>
    <w:p w14:paraId="2058C234">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（四）“优师计划”学生返乡从教意愿影响因素及提升策略研究——基于北京师范大学的追踪调查</w:t>
      </w:r>
    </w:p>
    <w:p w14:paraId="081F19B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北京师范大学“优师计划”各年级学生为研究对象，通过纵向追踪问卷调查与阶段性焦点小组访谈，识别影响学生返乡从教意愿的关键因素，包括个人职业价值观、家庭支持程度、地方就业政策吸引力、返乡后的职业发展预期等。运用统计分析方法量化各因素的影响权重，针对性地提出加强乡土情怀教育、完善就业激励政策、搭建返乡实习实践平台等提升策略，为稳定“优师计划”人才输送渠道提供参考。</w:t>
      </w:r>
    </w:p>
    <w:p w14:paraId="2C2A2646">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（五）基础教育师资配置差异背景下“优师计划”的区域化实施策略研究</w:t>
      </w:r>
    </w:p>
    <w:p w14:paraId="680B060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取经济发展水平不同的地区（如中西部有“优师计划”学生从教的地区）作为对比调研区域，通过分析不同地域师资编制、薪酬待遇、师资流动率、教学质量等指标的差异，探究“优师计划”在不同区域的实施成效与面临的挑战。结合区域教育发展特点，提出差异化的“优师计划”实施策略，建立不同类型地区师资培养机制、定制区域特色化培养模块等，促进“优师计划”资源的精准投放。</w:t>
      </w:r>
    </w:p>
    <w:p w14:paraId="09F2EFAC">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（六）返乡从教教师职业认同与职业倦怠的关系及干预机制研究</w:t>
      </w:r>
    </w:p>
    <w:p w14:paraId="47E144A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用职业认同量表、职业倦怠量表对返乡从教教师进行大规模问卷调查，结合典型个案访谈，分析其职业认同（如对教师职业价值的认同、对乡村教育的归属感）与职业倦怠（情绪耗竭、去个性化、低成就感）的相关性。进一步探究影响职业认同的关键变量，如工作环境、社会支持、专业成长机会等，构建以提升职业认同为核心的职业倦怠干预机制，包括开展乡村教育叙事分享、建立教师专业成长共同体等，助力返乡教师可持续发展。</w:t>
      </w:r>
    </w:p>
    <w:p w14:paraId="28133965">
      <w:pPr>
        <w:pStyle w:val="3"/>
        <w:spacing w:before="0" w:after="0" w:line="560" w:lineRule="exact"/>
        <w:ind w:firstLine="640" w:firstLineChars="200"/>
        <w:jc w:val="both"/>
        <w:rPr>
          <w:rFonts w:ascii="黑体" w:hAnsi="黑体" w:eastAsia="黑体" w:cs="黑体"/>
          <w:b w:val="0"/>
          <w:bCs w:val="0"/>
          <w:sz w:val="32"/>
          <w:szCs w:val="32"/>
        </w:rPr>
      </w:pPr>
      <w:r>
        <w:rPr>
          <w:rFonts w:hint="eastAsia" w:ascii="黑体" w:hAnsi="黑体" w:eastAsia="黑体" w:cs="黑体"/>
          <w:b w:val="0"/>
          <w:bCs w:val="0"/>
          <w:sz w:val="32"/>
          <w:szCs w:val="32"/>
        </w:rPr>
        <w:t>二、教学实践类</w:t>
      </w:r>
    </w:p>
    <w:p w14:paraId="048DAE2A">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（七）返乡从教“志远计划”“优师计划”师范生新课程实施情况及影响因素研究</w:t>
      </w:r>
    </w:p>
    <w:p w14:paraId="4A5F25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双新”背景下，教师实施新课程的能力，影响课程改革成败。本选题以毕业返乡从教的“志远计划”“优师计划”师范生为研究对象，采用问卷调查、访谈、课堂观察、教学文本分析等方法，达成两个研究目的：一是研究师范生实施新课程的情况，发现实施新课程的障碍；二是从社会学、心理学等多学科视角切入，探究影响师范生实施新课程的因素，构建师范生新课程实施能力提升路径。通过发现新课程实施困境，构建有效提升路径，提高返乡从教的“志远计划”“优师计划”师范生教育教学水平，推动新课程改革进程。</w:t>
      </w:r>
    </w:p>
    <w:p w14:paraId="3F3DBB93">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（八）师范生学科教学知识的形成与发展——基于北京师范大学XXX专业师范生的追踪研究</w:t>
      </w:r>
    </w:p>
    <w:p w14:paraId="3E51DA2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科教学知识是影响教师成功教学的关键因素。职前教师的学科教学知识掌握情况，直接影响了其未来的教育教学水平。师范生在大学就读期间，接触到丰富的学科教学知识，但受多种因素影响，他们对学科教学知识的接收、转化水平存在个性差异。采用田野调查、追踪调研等方式方法，动态了解师范生学科教学知识掌握情况，提炼促进学科教学知识接收、转化率的路径策略，对提高师范生教学水平，适应未来教育教学场景，促进教师专业能力发展有重要价值。</w:t>
      </w:r>
    </w:p>
    <w:p w14:paraId="652A1B1F">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（九）县域从教教师数字素养结构特征及提升机制研究</w:t>
      </w:r>
    </w:p>
    <w:p w14:paraId="1B5F6D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返乡从教的“优师计划”教师为研究对象，以教育部发布的《教师数字素养》教育行业标准为理论指导框架，采用质性与量化结合的研究方法，围绕教师数字素养的主要内容（包括数字化意识、数字技术知识与技能、数字化应用、数字社会责任与专业发展五个维度），系统考察“优师计划”教师数字素养的整体水平、结构特征及在县域基础教育情境中的实践表现，并识别其数字素养发展中存在的关键制约因素。在此基础上，构建契合县域学校实际的“优师计划”教师数字素养提升路径，为优化职前培养方案与完善返乡教师在职专业支持机制提供实证依据。</w:t>
      </w:r>
    </w:p>
    <w:p w14:paraId="36EA1794">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（十）返乡从教“优师计划”教师心理健康教育能力现状及支持路径研究</w:t>
      </w:r>
    </w:p>
    <w:p w14:paraId="4D97500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随着基础教育领域对学生心理健康重视程度的持续提高，教师在心理健康教育中的专业角色不断强化。本研究聚焦返乡从教的“优师计划”教师，系统调研其在学生心理问题识别、日常心理关怀、课堂融入心理健康教育等方面的能力水平与实践经验。研究采用问卷调查、情境案例访谈与教学文本分析等方法，分析教师心理健康教育能力的整体状况及其面临的主要挑战。进一步从职前培养、入职支持与校地协同三个层面，探讨构建多层次心理健康教育支持路径的可能方式，为提升“优师计划”教师在县域学校中开展心理健康教育的专业能力提供实证参考。</w:t>
      </w:r>
    </w:p>
    <w:p w14:paraId="40E5C60E">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（十一）县域学校情境下“优师计划”返乡教师学生事务管理能力及其生成机制研究</w:t>
      </w:r>
    </w:p>
    <w:p w14:paraId="49EBD2B0">
      <w:pPr>
        <w:spacing w:line="560" w:lineRule="exact"/>
        <w:ind w:firstLine="640" w:firstLineChars="200"/>
      </w:pPr>
      <w:r>
        <w:rPr>
          <w:rFonts w:hint="eastAsia" w:ascii="仿宋_GB2312" w:hAnsi="仿宋_GB2312" w:eastAsia="仿宋_GB2312" w:cs="仿宋_GB2312"/>
          <w:sz w:val="32"/>
          <w:szCs w:val="32"/>
        </w:rPr>
        <w:t>以返乡从教的“优师计划”教师为研究对象，系统考察其在班级治理、家校协同、综合育人事务中的实际表现与能力结构。研究通过问卷调查、访谈与案例分析等方法，刻画其学生事务管理能力的整体水平、结构特征及差异表现，识别返乡任教初期在角色适应与事务应对中面临的主要制约。进一步从职前培养内容与实践经历、入职初期校内指导与支持机制以及县域学校组织文化等层面，分析学生事务管理能力形成与发展的关键影响因素。在此基础上，探讨面向“优师计划”的学生事务管理能力培养与支持路径，为完善师范生培养体系与新入职教师支持机制提供实践参考。</w:t>
      </w:r>
    </w:p>
    <w:sectPr>
      <w:footerReference r:id="rId3" w:type="default"/>
      <w:pgSz w:w="11905" w:h="16840"/>
      <w:pgMar w:top="1474" w:right="1474" w:bottom="1417"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CE237">
    <w:r>
      <mc:AlternateContent>
        <mc:Choice Requires="wps">
          <w:drawing>
            <wp:anchor distT="0" distB="0" distL="114300" distR="114300" simplePos="0" relativeHeight="251659264" behindDoc="0" locked="0" layoutInCell="1" allowOverlap="1">
              <wp:simplePos x="0" y="0"/>
              <wp:positionH relativeFrom="margin">
                <wp:posOffset>2574290</wp:posOffset>
              </wp:positionH>
              <wp:positionV relativeFrom="paragraph">
                <wp:posOffset>-174625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5EF72">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7pt;margin-top:-13.75pt;height:144pt;width:144pt;mso-position-horizontal-relative:margin;mso-wrap-style:none;z-index:251659264;mso-width-relative:page;mso-height-relative:page;" filled="f" stroked="f" coordsize="21600,21600" o:gfxdata="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CLNm&#10;WdjqneUROirm7eoYIGCnaxSlV2LQCtPWdWZ4GXGc/9x3UY9/g+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EFxnNkAAAALAQAADwAAAAAAAAABACAAAAAiAAAAZHJzL2Rvd25yZXYueG1sUEsBAhQA&#10;FAAAAAgAh07iQIzXDnwqAgAAVQQAAA4AAAAAAAAAAQAgAAAAKAEAAGRycy9lMm9Eb2MueG1sUEsF&#10;BgAAAAAGAAYAWQEAAMQFAAAAAA==&#10;">
              <v:fill on="f" focussize="0,0"/>
              <v:stroke on="f" weight="0.5pt"/>
              <v:imagedata o:title=""/>
              <o:lock v:ext="edit" aspectratio="f"/>
              <v:textbox inset="0mm,0mm,0mm,0mm" style="mso-fit-shape-to-text:t;">
                <w:txbxContent>
                  <w:p w14:paraId="7F05EF72">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499"/>
    <w:rsid w:val="00070644"/>
    <w:rsid w:val="000C3C7D"/>
    <w:rsid w:val="00566499"/>
    <w:rsid w:val="07422B5F"/>
    <w:rsid w:val="0C571A44"/>
    <w:rsid w:val="0D641B31"/>
    <w:rsid w:val="22C95C8E"/>
    <w:rsid w:val="239E2860"/>
    <w:rsid w:val="2C086502"/>
    <w:rsid w:val="2D7A6FDF"/>
    <w:rsid w:val="30BD6874"/>
    <w:rsid w:val="34684E59"/>
    <w:rsid w:val="34FA1E45"/>
    <w:rsid w:val="35233C06"/>
    <w:rsid w:val="3684119D"/>
    <w:rsid w:val="4DE374C2"/>
    <w:rsid w:val="5125597F"/>
    <w:rsid w:val="5ABF4E13"/>
    <w:rsid w:val="5E5C5BBB"/>
    <w:rsid w:val="67957627"/>
    <w:rsid w:val="6BC15486"/>
    <w:rsid w:val="6F7B35A7"/>
    <w:rsid w:val="70AD603D"/>
    <w:rsid w:val="7318110C"/>
    <w:rsid w:val="77F55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rPr>
      <w:sz w:val="28"/>
    </w:r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2680</Words>
  <Characters>2690</Characters>
  <Lines>19</Lines>
  <Paragraphs>5</Paragraphs>
  <TotalTime>5</TotalTime>
  <ScaleCrop>false</ScaleCrop>
  <LinksUpToDate>false</LinksUpToDate>
  <CharactersWithSpaces>2690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2025-12-01T06:08:00Z</dcterms:created>
  <dc:creator>Apache POI</dc:creator>
  <cp:lastModifiedBy>姚翔予</cp:lastModifiedBy>
  <cp:lastPrinted>2025-12-11T03:18:00Z</cp:lastPrinted>
  <dcterms:modified xsi:type="dcterms:W3CDTF">2026-01-06T03:14:19Z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eyJoZGlkIjoiZjFjM2QzMmM5NjgwNTYzY2FmY2Q1MGYzMjZkNDg5NWMiLCJ1c2VySWQiOiIyNzYxOTYzNjcifQ==</vt:lpwstr>
  </property>
  <property fmtid="{D5CDD505-2E9C-101B-9397-08002B2CF9AE}" pid="3" name="KSOProductBuildVer">
    <vt:lpwstr>2052-12.1.0.24034</vt:lpwstr>
  </property>
  <property fmtid="{D5CDD505-2E9C-101B-9397-08002B2CF9AE}" pid="4" name="ICV">
    <vt:lpwstr>214E2B44A9734C569CD0741ED6398EBB_13</vt:lpwstr>
  </property>
</Properties>
</file>